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0D" w:rsidRPr="00981870" w:rsidRDefault="00BA450D" w:rsidP="00BA450D">
      <w:pPr>
        <w:jc w:val="both"/>
        <w:rPr>
          <w:rFonts w:ascii="Calibri" w:hAnsi="Calibri"/>
          <w:b/>
          <w:sz w:val="20"/>
          <w:szCs w:val="20"/>
        </w:rPr>
      </w:pPr>
      <w:r w:rsidRPr="00981870">
        <w:rPr>
          <w:rFonts w:ascii="Calibri" w:hAnsi="Calibri"/>
          <w:b/>
          <w:sz w:val="20"/>
          <w:szCs w:val="20"/>
        </w:rPr>
        <w:t>Recenzní řízení</w:t>
      </w:r>
    </w:p>
    <w:p w:rsidR="00BA450D" w:rsidRPr="00981870" w:rsidRDefault="00BA450D" w:rsidP="00BA450D">
      <w:pPr>
        <w:jc w:val="both"/>
        <w:rPr>
          <w:rFonts w:ascii="Calibri" w:hAnsi="Calibri"/>
          <w:sz w:val="20"/>
          <w:szCs w:val="20"/>
        </w:rPr>
      </w:pPr>
      <w:r w:rsidRPr="00981870">
        <w:rPr>
          <w:rFonts w:ascii="Calibri" w:hAnsi="Calibri"/>
          <w:sz w:val="20"/>
          <w:szCs w:val="20"/>
        </w:rPr>
        <w:t>Rukopis je anonymně recenzován dvěma nezávislými recenzenty/</w:t>
      </w:r>
      <w:r>
        <w:rPr>
          <w:rFonts w:ascii="Calibri" w:hAnsi="Calibri"/>
          <w:sz w:val="20"/>
          <w:szCs w:val="20"/>
        </w:rPr>
        <w:t>recezentkami</w:t>
      </w:r>
      <w:r w:rsidRPr="00981870">
        <w:rPr>
          <w:rFonts w:ascii="Calibri" w:hAnsi="Calibri"/>
          <w:sz w:val="20"/>
          <w:szCs w:val="20"/>
        </w:rPr>
        <w:t>. Posudek s komentářem je zaslán autorovi/autorce k úpravě. Konečnou úpravu rukopisu si vyhrazuje redakce. Práce uveřejněné v časopisu nejsou honorovány. Autoři/ autorky a posuzovatelé/posuzovatelky zůstáv</w:t>
      </w:r>
      <w:r>
        <w:rPr>
          <w:rFonts w:ascii="Calibri" w:hAnsi="Calibri"/>
          <w:sz w:val="20"/>
          <w:szCs w:val="20"/>
        </w:rPr>
        <w:t>ají pro sebe navzájem anonymní.</w:t>
      </w:r>
    </w:p>
    <w:p w:rsidR="00BA450D" w:rsidRPr="00981870" w:rsidRDefault="00BA450D" w:rsidP="00BA450D">
      <w:pPr>
        <w:jc w:val="both"/>
        <w:rPr>
          <w:rFonts w:ascii="Calibri" w:hAnsi="Calibri"/>
          <w:sz w:val="20"/>
          <w:szCs w:val="20"/>
        </w:rPr>
      </w:pPr>
      <w:r w:rsidRPr="00981870">
        <w:rPr>
          <w:rFonts w:ascii="Calibri" w:hAnsi="Calibri"/>
          <w:sz w:val="20"/>
          <w:szCs w:val="20"/>
        </w:rPr>
        <w:t>Výkonn</w:t>
      </w:r>
      <w:r>
        <w:rPr>
          <w:rFonts w:ascii="Calibri" w:hAnsi="Calibri"/>
          <w:sz w:val="20"/>
          <w:szCs w:val="20"/>
        </w:rPr>
        <w:t>ý</w:t>
      </w:r>
      <w:r w:rsidRPr="00981870">
        <w:rPr>
          <w:rFonts w:ascii="Calibri" w:hAnsi="Calibri"/>
          <w:sz w:val="20"/>
          <w:szCs w:val="20"/>
        </w:rPr>
        <w:t xml:space="preserve"> redaktor má právo odmítnout předat článek do recenzního řízení, pokud se domnívá, že nesplňuje základní požadavky kladené na odborný text nebo výrazně vybočuje z oblasti antropologie. Toto své rozhodnutí musí zdůvodnit před redakční radou časopisu. Členové redakční rady mají právo kdykoli si vyžádat rukopisy nabídnuté redakci, včetně těch, </w:t>
      </w:r>
      <w:r>
        <w:rPr>
          <w:rFonts w:ascii="Calibri" w:hAnsi="Calibri"/>
          <w:sz w:val="20"/>
          <w:szCs w:val="20"/>
        </w:rPr>
        <w:t>které byly zamítnuty</w:t>
      </w:r>
      <w:r w:rsidRPr="00981870">
        <w:rPr>
          <w:rFonts w:ascii="Calibri" w:hAnsi="Calibri"/>
          <w:sz w:val="20"/>
          <w:szCs w:val="20"/>
        </w:rPr>
        <w:t xml:space="preserve"> před recenzním řízením.</w:t>
      </w:r>
    </w:p>
    <w:p w:rsidR="00BA450D" w:rsidRPr="00981870" w:rsidRDefault="00BA450D" w:rsidP="00BA450D">
      <w:pPr>
        <w:jc w:val="both"/>
        <w:rPr>
          <w:rFonts w:ascii="Calibri" w:hAnsi="Calibri"/>
          <w:sz w:val="20"/>
          <w:szCs w:val="20"/>
        </w:rPr>
      </w:pPr>
      <w:r w:rsidRPr="00981870">
        <w:rPr>
          <w:rFonts w:ascii="Calibri" w:hAnsi="Calibri"/>
          <w:sz w:val="20"/>
          <w:szCs w:val="20"/>
        </w:rPr>
        <w:t>K recenzování příspěvku jsou vybráni odborníci na danou problematiku, kteří nejsou s autor</w:t>
      </w:r>
      <w:r>
        <w:rPr>
          <w:rFonts w:ascii="Calibri" w:hAnsi="Calibri"/>
          <w:sz w:val="20"/>
          <w:szCs w:val="20"/>
        </w:rPr>
        <w:t>y</w:t>
      </w:r>
      <w:r w:rsidRPr="00981870">
        <w:rPr>
          <w:rFonts w:ascii="Calibri" w:hAnsi="Calibri"/>
          <w:sz w:val="20"/>
          <w:szCs w:val="20"/>
        </w:rPr>
        <w:t xml:space="preserve"> úzce pracovně, institucionálně nebo osobně svázáni. Posuzovatelé vyplňují standardizovaný formulář, současně s doporučením autorům a předkládají celkové hodnocení (zda text doporučují k přijetí, přepracování nebo zamítnutí). Sv</w:t>
      </w:r>
      <w:r>
        <w:rPr>
          <w:rFonts w:ascii="Calibri" w:hAnsi="Calibri"/>
          <w:sz w:val="20"/>
          <w:szCs w:val="20"/>
        </w:rPr>
        <w:t>á</w:t>
      </w:r>
      <w:r w:rsidRPr="00981870">
        <w:rPr>
          <w:rFonts w:ascii="Calibri" w:hAnsi="Calibri"/>
          <w:sz w:val="20"/>
          <w:szCs w:val="20"/>
        </w:rPr>
        <w:t xml:space="preserve"> rozhodnutí </w:t>
      </w:r>
      <w:r>
        <w:rPr>
          <w:rFonts w:ascii="Calibri" w:hAnsi="Calibri"/>
          <w:sz w:val="20"/>
          <w:szCs w:val="20"/>
        </w:rPr>
        <w:t xml:space="preserve">a doporučení autorům </w:t>
      </w:r>
      <w:r w:rsidRPr="00981870">
        <w:rPr>
          <w:rFonts w:ascii="Calibri" w:hAnsi="Calibri"/>
          <w:sz w:val="20"/>
          <w:szCs w:val="20"/>
        </w:rPr>
        <w:t>zdůvodňují v</w:t>
      </w:r>
      <w:r>
        <w:rPr>
          <w:rFonts w:ascii="Calibri" w:hAnsi="Calibri"/>
          <w:sz w:val="20"/>
          <w:szCs w:val="20"/>
        </w:rPr>
        <w:t> </w:t>
      </w:r>
      <w:r w:rsidRPr="00981870">
        <w:rPr>
          <w:rFonts w:ascii="Calibri" w:hAnsi="Calibri"/>
          <w:sz w:val="20"/>
          <w:szCs w:val="20"/>
        </w:rPr>
        <w:t>posudku</w:t>
      </w:r>
      <w:r>
        <w:rPr>
          <w:rFonts w:ascii="Calibri" w:hAnsi="Calibri"/>
          <w:sz w:val="20"/>
          <w:szCs w:val="20"/>
        </w:rPr>
        <w:t>.</w:t>
      </w:r>
    </w:p>
    <w:p w:rsidR="00BA450D" w:rsidRDefault="00BA450D" w:rsidP="00BA450D">
      <w:pPr>
        <w:jc w:val="both"/>
        <w:rPr>
          <w:rFonts w:ascii="Calibri" w:hAnsi="Calibri"/>
          <w:sz w:val="20"/>
          <w:szCs w:val="20"/>
        </w:rPr>
      </w:pPr>
      <w:r w:rsidRPr="00981870">
        <w:rPr>
          <w:rFonts w:ascii="Calibri" w:hAnsi="Calibri"/>
          <w:sz w:val="20"/>
          <w:szCs w:val="20"/>
        </w:rPr>
        <w:t xml:space="preserve">Na základě vyjádření recenzentů </w:t>
      </w:r>
      <w:r>
        <w:rPr>
          <w:rFonts w:ascii="Calibri" w:hAnsi="Calibri"/>
          <w:sz w:val="20"/>
          <w:szCs w:val="20"/>
        </w:rPr>
        <w:t>výkonný redaktor</w:t>
      </w:r>
      <w:r w:rsidRPr="00981870">
        <w:rPr>
          <w:rFonts w:ascii="Calibri" w:hAnsi="Calibri"/>
          <w:sz w:val="20"/>
          <w:szCs w:val="20"/>
        </w:rPr>
        <w:t xml:space="preserve"> autorům sdělí, zda je článek přijat, je nutné přepracování nebo je zamítnut. V případě nesouhlasu se stanoviskem výkonné</w:t>
      </w:r>
      <w:r>
        <w:rPr>
          <w:rFonts w:ascii="Calibri" w:hAnsi="Calibri"/>
          <w:sz w:val="20"/>
          <w:szCs w:val="20"/>
        </w:rPr>
        <w:t xml:space="preserve"> redaktorky</w:t>
      </w:r>
      <w:r w:rsidRPr="00981870">
        <w:rPr>
          <w:rFonts w:ascii="Calibri" w:hAnsi="Calibri"/>
          <w:sz w:val="20"/>
          <w:szCs w:val="20"/>
        </w:rPr>
        <w:t xml:space="preserve"> a recenzentů mohou autoři předložit důvody nesouhlasu v dopise, který výkonn</w:t>
      </w:r>
      <w:r w:rsidR="002A2889">
        <w:rPr>
          <w:rFonts w:ascii="Calibri" w:hAnsi="Calibri"/>
          <w:sz w:val="20"/>
          <w:szCs w:val="20"/>
        </w:rPr>
        <w:t>ý</w:t>
      </w:r>
      <w:r w:rsidRPr="00981870">
        <w:rPr>
          <w:rFonts w:ascii="Calibri" w:hAnsi="Calibri"/>
          <w:sz w:val="20"/>
          <w:szCs w:val="20"/>
        </w:rPr>
        <w:t xml:space="preserve"> redaktor</w:t>
      </w:r>
      <w:bookmarkStart w:id="0" w:name="_GoBack"/>
      <w:bookmarkEnd w:id="0"/>
      <w:r w:rsidRPr="00981870">
        <w:rPr>
          <w:rFonts w:ascii="Calibri" w:hAnsi="Calibri"/>
          <w:sz w:val="20"/>
          <w:szCs w:val="20"/>
        </w:rPr>
        <w:t xml:space="preserve"> předloží redakční radě.</w:t>
      </w:r>
    </w:p>
    <w:p w:rsidR="00BA450D" w:rsidRDefault="00BA450D" w:rsidP="00BA450D">
      <w:pPr>
        <w:jc w:val="both"/>
        <w:rPr>
          <w:rFonts w:ascii="Calibri" w:hAnsi="Calibri"/>
          <w:sz w:val="20"/>
          <w:szCs w:val="20"/>
        </w:rPr>
      </w:pPr>
    </w:p>
    <w:p w:rsidR="00BA450D" w:rsidRPr="00981870" w:rsidRDefault="00BA450D" w:rsidP="00BA450D">
      <w:pPr>
        <w:jc w:val="both"/>
        <w:rPr>
          <w:rFonts w:ascii="Calibri" w:hAnsi="Calibri"/>
          <w:sz w:val="20"/>
          <w:szCs w:val="20"/>
        </w:rPr>
      </w:pPr>
      <w:r w:rsidRPr="00981870">
        <w:rPr>
          <w:rFonts w:ascii="Calibri" w:hAnsi="Calibri"/>
          <w:sz w:val="20"/>
          <w:szCs w:val="20"/>
        </w:rPr>
        <w:t xml:space="preserve">Rozhodování o přijetí, přepracování nebo zamítnutí příspěvku </w:t>
      </w:r>
      <w:r>
        <w:rPr>
          <w:rFonts w:ascii="Calibri" w:hAnsi="Calibri"/>
          <w:sz w:val="20"/>
          <w:szCs w:val="20"/>
        </w:rPr>
        <w:t>se řídí následujícími pravidly:</w:t>
      </w:r>
    </w:p>
    <w:p w:rsidR="00BA450D" w:rsidRPr="00981870" w:rsidRDefault="00BA450D" w:rsidP="00BA450D">
      <w:pPr>
        <w:numPr>
          <w:ilvl w:val="0"/>
          <w:numId w:val="1"/>
        </w:numPr>
        <w:tabs>
          <w:tab w:val="clear" w:pos="720"/>
        </w:tabs>
        <w:ind w:left="220" w:hanging="220"/>
        <w:jc w:val="both"/>
        <w:rPr>
          <w:rFonts w:ascii="Calibri" w:hAnsi="Calibri"/>
          <w:sz w:val="20"/>
          <w:szCs w:val="20"/>
        </w:rPr>
      </w:pPr>
      <w:r w:rsidRPr="00981870">
        <w:rPr>
          <w:rFonts w:ascii="Calibri" w:hAnsi="Calibri"/>
          <w:sz w:val="20"/>
          <w:szCs w:val="20"/>
        </w:rPr>
        <w:t xml:space="preserve">Jsou-li obě recenze kladné, konečné rozhodnutí o přijetí činí </w:t>
      </w:r>
      <w:r>
        <w:rPr>
          <w:rFonts w:ascii="Calibri" w:hAnsi="Calibri"/>
          <w:sz w:val="20"/>
          <w:szCs w:val="20"/>
        </w:rPr>
        <w:t>výkonný redaktor</w:t>
      </w:r>
      <w:r w:rsidRPr="00981870">
        <w:rPr>
          <w:rFonts w:ascii="Calibri" w:hAnsi="Calibri"/>
          <w:sz w:val="20"/>
          <w:szCs w:val="20"/>
        </w:rPr>
        <w:t xml:space="preserve"> a o svém rozhodnutí informuje redakční radu.</w:t>
      </w:r>
    </w:p>
    <w:p w:rsidR="00BA450D" w:rsidRPr="00981870" w:rsidRDefault="00BA450D" w:rsidP="00BA450D">
      <w:pPr>
        <w:numPr>
          <w:ilvl w:val="0"/>
          <w:numId w:val="1"/>
        </w:numPr>
        <w:tabs>
          <w:tab w:val="clear" w:pos="720"/>
        </w:tabs>
        <w:ind w:left="220" w:hanging="220"/>
        <w:jc w:val="both"/>
        <w:rPr>
          <w:rFonts w:ascii="Calibri" w:hAnsi="Calibri"/>
          <w:sz w:val="20"/>
          <w:szCs w:val="20"/>
        </w:rPr>
      </w:pPr>
      <w:r w:rsidRPr="00981870">
        <w:rPr>
          <w:rFonts w:ascii="Calibri" w:hAnsi="Calibri"/>
          <w:sz w:val="20"/>
          <w:szCs w:val="20"/>
        </w:rPr>
        <w:t xml:space="preserve">Jsou-li obě recenze záporné, konečné rozhodnutí o nepřijetí činí </w:t>
      </w:r>
      <w:r>
        <w:rPr>
          <w:rFonts w:ascii="Calibri" w:hAnsi="Calibri"/>
          <w:sz w:val="20"/>
          <w:szCs w:val="20"/>
        </w:rPr>
        <w:t>výkonný redaktor</w:t>
      </w:r>
      <w:r w:rsidRPr="00981870">
        <w:rPr>
          <w:rFonts w:ascii="Calibri" w:hAnsi="Calibri"/>
          <w:sz w:val="20"/>
          <w:szCs w:val="20"/>
        </w:rPr>
        <w:t xml:space="preserve"> a o svém rozhodnutí informuje redakční radu.</w:t>
      </w:r>
    </w:p>
    <w:p w:rsidR="00BA450D" w:rsidRPr="00981870" w:rsidRDefault="00BA450D" w:rsidP="00BA450D">
      <w:pPr>
        <w:numPr>
          <w:ilvl w:val="0"/>
          <w:numId w:val="1"/>
        </w:numPr>
        <w:tabs>
          <w:tab w:val="clear" w:pos="720"/>
        </w:tabs>
        <w:ind w:left="220" w:hanging="220"/>
        <w:jc w:val="both"/>
        <w:rPr>
          <w:rFonts w:ascii="Calibri" w:hAnsi="Calibri"/>
          <w:sz w:val="20"/>
          <w:szCs w:val="20"/>
        </w:rPr>
      </w:pPr>
      <w:r w:rsidRPr="00981870">
        <w:rPr>
          <w:rFonts w:ascii="Calibri" w:hAnsi="Calibri"/>
          <w:sz w:val="20"/>
          <w:szCs w:val="20"/>
        </w:rPr>
        <w:t>Pokud je jedna recenze kladná a druhá záporná, jsou autoři požádáni o přepracování textu, který je poté zaslán k další recenzi.</w:t>
      </w:r>
    </w:p>
    <w:p w:rsidR="00BA450D" w:rsidRPr="00981870" w:rsidRDefault="00BA450D" w:rsidP="00BA450D">
      <w:pPr>
        <w:numPr>
          <w:ilvl w:val="0"/>
          <w:numId w:val="1"/>
        </w:numPr>
        <w:tabs>
          <w:tab w:val="clear" w:pos="720"/>
        </w:tabs>
        <w:ind w:left="220" w:hanging="220"/>
        <w:jc w:val="both"/>
        <w:rPr>
          <w:rFonts w:ascii="Calibri" w:hAnsi="Calibri"/>
          <w:sz w:val="20"/>
          <w:szCs w:val="20"/>
        </w:rPr>
      </w:pPr>
      <w:r w:rsidRPr="00981870">
        <w:rPr>
          <w:rFonts w:ascii="Calibri" w:hAnsi="Calibri"/>
          <w:sz w:val="20"/>
          <w:szCs w:val="20"/>
        </w:rPr>
        <w:t xml:space="preserve">Pokud je jedna recenze záporná a druhá požaduje přepracování, </w:t>
      </w:r>
      <w:r>
        <w:rPr>
          <w:rFonts w:ascii="Calibri" w:hAnsi="Calibri"/>
          <w:sz w:val="20"/>
          <w:szCs w:val="20"/>
        </w:rPr>
        <w:t>výkonný redaktor</w:t>
      </w:r>
      <w:r w:rsidRPr="00981870">
        <w:rPr>
          <w:rFonts w:ascii="Calibri" w:hAnsi="Calibri"/>
          <w:sz w:val="20"/>
          <w:szCs w:val="20"/>
        </w:rPr>
        <w:t xml:space="preserve"> publikaci článku zamítne (po odsouhlasení redakční radou) nebo požádá autory o přepracování. Přepracovaný text je poté zaslán k</w:t>
      </w:r>
      <w:r>
        <w:rPr>
          <w:rFonts w:ascii="Calibri" w:hAnsi="Calibri"/>
          <w:sz w:val="20"/>
          <w:szCs w:val="20"/>
        </w:rPr>
        <w:t> </w:t>
      </w:r>
      <w:r w:rsidRPr="00981870">
        <w:rPr>
          <w:rFonts w:ascii="Calibri" w:hAnsi="Calibri"/>
          <w:sz w:val="20"/>
          <w:szCs w:val="20"/>
        </w:rPr>
        <w:t>posouzení třetímu recenzentovi.</w:t>
      </w:r>
    </w:p>
    <w:p w:rsidR="009033EA" w:rsidRDefault="009033EA"/>
    <w:sectPr w:rsidR="0090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371C8"/>
    <w:multiLevelType w:val="hybridMultilevel"/>
    <w:tmpl w:val="95E859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0D"/>
    <w:rsid w:val="001972A9"/>
    <w:rsid w:val="002A2889"/>
    <w:rsid w:val="006F2686"/>
    <w:rsid w:val="009033EA"/>
    <w:rsid w:val="00B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B8161-6275-4754-87B8-1BB6DCFD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Kikalova Katerina</dc:creator>
  <cp:keywords/>
  <dc:description/>
  <cp:lastModifiedBy>Kikalova Katerina</cp:lastModifiedBy>
  <cp:revision>2</cp:revision>
  <dcterms:created xsi:type="dcterms:W3CDTF">2017-03-15T09:07:00Z</dcterms:created>
  <dcterms:modified xsi:type="dcterms:W3CDTF">2017-03-15T09:07:00Z</dcterms:modified>
</cp:coreProperties>
</file>